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0" w:name="processo-penal-n.º-20230456"/>
    <w:p>
      <w:pPr>
        <w:pStyle w:val="Heading2"/>
      </w:pPr>
      <w:r>
        <w:t xml:space="preserve">Processo Penal n.º 2023/0456</w:t>
      </w:r>
    </w:p>
    <w:p>
      <w:pPr>
        <w:pStyle w:val="FirstParagraph"/>
      </w:pPr>
      <w:r>
        <w:rPr>
          <w:b/>
          <w:bCs/>
        </w:rPr>
        <w:t xml:space="preserve">Burla informática por phishing – Transferências fraudulentas de €32 000</w:t>
      </w:r>
    </w:p>
    <w:p>
      <w:pPr>
        <w:pStyle w:val="BodyText"/>
      </w:pPr>
      <w:r>
        <w:rPr>
          <w:b/>
          <w:bCs/>
        </w:rPr>
        <w:t xml:space="preserve">Autor/Requerente:</w:t>
      </w:r>
      <w:r>
        <w:t xml:space="preserve"> </w:t>
      </w:r>
      <w:r>
        <w:t xml:space="preserve">Ministério Público</w:t>
      </w:r>
      <w:r>
        <w:br/>
      </w:r>
      <w:r>
        <w:rPr>
          <w:b/>
          <w:bCs/>
        </w:rPr>
        <w:t xml:space="preserve">Réu/Requerido:</w:t>
      </w:r>
      <w:r>
        <w:t xml:space="preserve"> </w:t>
      </w:r>
      <w:r>
        <w:t xml:space="preserve">João da Silva, residente em Rua da Boavista, 45‑3.º Dto., 1200‑067 Lisboa</w:t>
      </w:r>
      <w:r>
        <w:br/>
      </w:r>
      <w:r>
        <w:rPr>
          <w:b/>
          <w:bCs/>
        </w:rPr>
        <w:t xml:space="preserve">Mandatários:</w:t>
      </w:r>
      <w:r>
        <w:br/>
      </w:r>
      <w:r>
        <w:t xml:space="preserve">- Dr. Ana Pereira – Advogada (OAB 12345) – NIF 123 456 789</w:t>
      </w:r>
      <w:r>
        <w:br/>
      </w:r>
      <w:r>
        <w:t xml:space="preserve">- Dr. Luís Carvalho – Advogado (OAB 67890) – NIF 987 654 321</w:t>
      </w:r>
    </w:p>
    <w:p>
      <w:pPr>
        <w:pStyle w:val="BodyText"/>
      </w:pPr>
      <w:r>
        <w:rPr>
          <w:b/>
          <w:bCs/>
        </w:rPr>
        <w:t xml:space="preserve">Procuradora do Ministério Público:</w:t>
      </w:r>
      <w:r>
        <w:t xml:space="preserve"> </w:t>
      </w:r>
      <w:r>
        <w:t xml:space="preserve">Dr. Marta Santos – OAB 54321 – NIF 112 233 445</w:t>
      </w:r>
    </w:p>
    <w:p>
      <w:pPr>
        <w:pStyle w:val="BodyText"/>
      </w:pPr>
      <w:r>
        <w:rPr>
          <w:b/>
          <w:bCs/>
        </w:rPr>
        <w:t xml:space="preserve">Juiz de Instrução Criminal n.º 4</w:t>
      </w:r>
      <w:r>
        <w:t xml:space="preserve"> </w:t>
      </w:r>
      <w:r>
        <w:t xml:space="preserve">– Tribunal Judicial de Lisboa</w:t>
      </w:r>
    </w:p>
    <w:p>
      <w:pPr>
        <w:pStyle w:val="BodyText"/>
      </w:pPr>
      <w:r>
        <w:t xml:space="preserve">Lisboa, 15 de março de 2024</w:t>
      </w:r>
    </w:p>
    <w:p>
      <w:r>
        <w:pict>
          <v:rect style="width:0;height:1.5pt" o:hralign="center" o:hrstd="t" o:hr="t"/>
        </w:pict>
      </w:r>
    </w:p>
    <w:bookmarkStart w:id="9" w:name="X7ee22bbcfc7a49cb1b398d737cd5902bf75577e"/>
    <w:p>
      <w:pPr>
        <w:pStyle w:val="Heading3"/>
      </w:pPr>
      <w:r>
        <w:rPr>
          <w:b/>
          <w:bCs/>
        </w:rPr>
        <w:t xml:space="preserve">PEDIDO DE INDEFERIMENTO DA PROVA ELETRÓNICA – REGISTOS DE ENDEREÇOS IP</w:t>
      </w:r>
    </w:p>
    <w:p>
      <w:pPr>
        <w:pStyle w:val="FirstParagraph"/>
      </w:pPr>
      <w:r>
        <w:t xml:space="preserve">Ex.mo Sr. Juiz de Instrução Criminal n.º 4,</w:t>
      </w:r>
    </w:p>
    <w:p>
      <w:pPr>
        <w:pStyle w:val="BodyText"/>
      </w:pPr>
      <w:r>
        <w:rPr>
          <w:b/>
          <w:bCs/>
        </w:rPr>
        <w:t xml:space="preserve">I – SÍNTESE DOS FATOS</w:t>
      </w:r>
    </w:p>
    <w:p>
      <w:pPr>
        <w:numPr>
          <w:ilvl w:val="0"/>
          <w:numId w:val="1001"/>
        </w:numPr>
      </w:pPr>
      <w:r>
        <w:t xml:space="preserve">No âmbito do presente processo penal, o Ministério Público requereu a produção de prova eletrónica consistente nos registos de endereços IP recolhidos dos servidores da entidade bancária “Banco Central de Portugal, S.A.” (NIB 0001 0000 0000 0000 0015), referentes às transferências realizadas entre 10 e 25 de março de 2023, que totalizam €32 000, supostamente efetuadas pelo réu João da Silva mediante técnicas de phishing.</w:t>
      </w:r>
    </w:p>
    <w:p>
      <w:pPr>
        <w:numPr>
          <w:ilvl w:val="0"/>
          <w:numId w:val="1001"/>
        </w:numPr>
      </w:pPr>
      <w:r>
        <w:t xml:space="preserve">Os referidos registos de IP foram obtidos mediante ordem judicial de 02 de abril de 2023, mas não foram acompanhados de parecer de avaliação de impacto na proteção de dados nem de garantias de anonimização, conforme exigido pelo Regulamento (UE) 2016/679 (RGPD) e pela Lei n.º 58/2019, de 8 de agosto, de Proteção de Dados Pessoais e Garantia de Direitos Digitais.</w:t>
      </w:r>
    </w:p>
    <w:p>
      <w:pPr>
        <w:pStyle w:val="FirstParagraph"/>
      </w:pPr>
      <w:r>
        <w:rPr>
          <w:b/>
          <w:bCs/>
        </w:rPr>
        <w:t xml:space="preserve">II – FUNDAMENTAÇÃO JURÍDICA DO PEDIDO</w:t>
      </w:r>
    </w:p>
    <w:p>
      <w:pPr>
        <w:numPr>
          <w:ilvl w:val="0"/>
          <w:numId w:val="1002"/>
        </w:numPr>
      </w:pPr>
      <w:r>
        <w:t xml:space="preserve">O artigo 210.º, n.º 1, alínea c) do Código de Processo Civil (CPC) estabelece que o juiz pode indeferir prova que viole direitos fundamentais, nomeadamente o direito à privacidade e à proteção de dados pessoais, consagrados no artigo 26.º da Constituição da República Portuguesa e no artigo 8.º.º do RGPD.</w:t>
      </w:r>
    </w:p>
    <w:p>
      <w:pPr>
        <w:numPr>
          <w:ilvl w:val="0"/>
          <w:numId w:val="1002"/>
        </w:numPr>
      </w:pPr>
      <w:r>
        <w:t xml:space="preserve">A recolha e a conservação de registos de IP constituem, por natureza, dados pessoais identificáveis (artigo 4.º, n.º 1, alínea a) do RGPD). A sua utilização como prova deve obedecer aos princípios da licitude, lealdade e minimização dos dados (artigos 5.º e 6.º do RGPD). No caso em apreço, a ausência de avaliação de impacto e de medidas de anonimização demonstra clara violação desses princípios.</w:t>
      </w:r>
    </w:p>
    <w:p>
      <w:pPr>
        <w:numPr>
          <w:ilvl w:val="0"/>
          <w:numId w:val="1002"/>
        </w:numPr>
      </w:pPr>
      <w:r>
        <w:t xml:space="preserve">O Tribunal Constitucional, ao julgar o processo “S. X. vs. Estado” (Acórdão nº 5/2021), entendeu que a obtenção de dados de navegação sem a devida salvaguarda dos direitos de privacidade constitui violação do princípio da proporcionalidade, devendo ser excluída a prova obtida em desconformidade com o RGPD.</w:t>
      </w:r>
    </w:p>
    <w:p>
      <w:pPr>
        <w:numPr>
          <w:ilvl w:val="0"/>
          <w:numId w:val="1002"/>
        </w:numPr>
      </w:pPr>
      <w:r>
        <w:t xml:space="preserve">Ainda que a prova pretendida seja relevante para a demonstração da autoria, o seu valor probatório deve ser ponderado frente à gravidade da infração dos direitos fundamentais. Conforme o artigo 215.º do CPC, o juiz deve “excluir da prova os meios que tenham sido obtidos por violação de direitos constitucionais ou legais”.</w:t>
      </w:r>
    </w:p>
    <w:p>
      <w:pPr>
        <w:pStyle w:val="FirstParagraph"/>
      </w:pPr>
      <w:r>
        <w:rPr>
          <w:b/>
          <w:bCs/>
        </w:rPr>
        <w:t xml:space="preserve">III – REQUERIMENTO</w:t>
      </w:r>
    </w:p>
    <w:p>
      <w:pPr>
        <w:numPr>
          <w:ilvl w:val="0"/>
          <w:numId w:val="1003"/>
        </w:numPr>
      </w:pPr>
      <w:r>
        <w:t xml:space="preserve">Face ao exposto, requer a V. Exa. que:</w:t>
      </w:r>
    </w:p>
    <w:p>
      <w:pPr>
        <w:numPr>
          <w:ilvl w:val="1"/>
          <w:numId w:val="1004"/>
        </w:numPr>
      </w:pPr>
      <w:r>
        <w:rPr>
          <w:b/>
          <w:bCs/>
        </w:rPr>
        <w:t xml:space="preserve">Indeferir a produção dos registos de endereços IP</w:t>
      </w:r>
      <w:r>
        <w:t xml:space="preserve"> </w:t>
      </w:r>
      <w:r>
        <w:t xml:space="preserve">constantes nos autos, nos termos do artigo 210.º, n.º 1, alínea c) do CPC, por violarem o direito à privacidade e à proteção de dados pessoais do réu, nos termos da Constituição da República Portuguesa, do RGPD e da Lei n.º 58/2019;</w:t>
      </w:r>
    </w:p>
    <w:p>
      <w:pPr>
        <w:numPr>
          <w:ilvl w:val="1"/>
          <w:numId w:val="1004"/>
        </w:numPr>
      </w:pPr>
      <w:r>
        <w:rPr>
          <w:b/>
          <w:bCs/>
        </w:rPr>
        <w:t xml:space="preserve">Determinar a exclusão definitiva desses registos dos autos</w:t>
      </w:r>
      <w:r>
        <w:t xml:space="preserve">, com a consequente impossibilidade de sua utilização em julgamento, nos termos do artigo 215.º do CPC;</w:t>
      </w:r>
    </w:p>
    <w:p>
      <w:pPr>
        <w:numPr>
          <w:ilvl w:val="1"/>
          <w:numId w:val="1004"/>
        </w:numPr>
      </w:pPr>
      <w:r>
        <w:rPr>
          <w:b/>
          <w:bCs/>
        </w:rPr>
        <w:t xml:space="preserve">Ordenar a produção de prova alternativa</w:t>
      </w:r>
      <w:r>
        <w:t xml:space="preserve">, caso V. Exa. entenda necessária a demonstração da autoria, mediante a apresentação de documentos que não contenham dados pessoais identificáveis, como extratos bancários resumidos e comunicações eletrónicas já devidamente anonimizadas.</w:t>
      </w:r>
    </w:p>
    <w:p>
      <w:pPr>
        <w:numPr>
          <w:ilvl w:val="0"/>
          <w:numId w:val="1003"/>
        </w:numPr>
      </w:pPr>
      <w:r>
        <w:t xml:space="preserve">Subsidiariamente, caso V. Exa. entenda que a prova pode ser admitida, requer a</w:t>
      </w:r>
      <w:r>
        <w:t xml:space="preserve"> </w:t>
      </w:r>
      <w:r>
        <w:rPr>
          <w:b/>
          <w:bCs/>
        </w:rPr>
        <w:t xml:space="preserve">análise e aprovação de um plano de anonimização</w:t>
      </w:r>
      <w:r>
        <w:t xml:space="preserve"> </w:t>
      </w:r>
      <w:r>
        <w:t xml:space="preserve">dos dados, nos termos do artigo 5.º, n.º 1, alínea e) do RGPD, bem como a nomeação de perito independente para garantir a conformidade com a legislação de proteção de dados.</w:t>
      </w:r>
    </w:p>
    <w:p>
      <w:pPr>
        <w:pStyle w:val="FirstParagraph"/>
      </w:pPr>
      <w:r>
        <w:rPr>
          <w:b/>
          <w:bCs/>
        </w:rPr>
        <w:t xml:space="preserve">IV – PROVA DA LEGITIMIDADE DO PEDIDO</w:t>
      </w:r>
    </w:p>
    <w:p>
      <w:pPr>
        <w:numPr>
          <w:ilvl w:val="0"/>
          <w:numId w:val="1005"/>
        </w:numPr>
      </w:pPr>
      <w:r>
        <w:t xml:space="preserve">Anexa-se ao presente pedido:</w:t>
      </w:r>
    </w:p>
    <w:p>
      <w:pPr>
        <w:pStyle w:val="Compact"/>
        <w:numPr>
          <w:ilvl w:val="1"/>
          <w:numId w:val="1006"/>
        </w:numPr>
      </w:pPr>
      <w:r>
        <w:t xml:space="preserve">Cópia da decisão de 02 de abril de 2023, que ordenou a recolha dos registos de IP;</w:t>
      </w:r>
      <w:r>
        <w:br/>
      </w:r>
    </w:p>
    <w:p>
      <w:pPr>
        <w:pStyle w:val="Compact"/>
        <w:numPr>
          <w:ilvl w:val="1"/>
          <w:numId w:val="1006"/>
        </w:numPr>
      </w:pPr>
      <w:r>
        <w:t xml:space="preserve">Cópia da Lei n.º 58/2019, de 8 de agosto, e do RGPD;</w:t>
      </w:r>
      <w:r>
        <w:br/>
      </w:r>
    </w:p>
    <w:p>
      <w:pPr>
        <w:pStyle w:val="Compact"/>
        <w:numPr>
          <w:ilvl w:val="1"/>
          <w:numId w:val="1006"/>
        </w:numPr>
      </w:pPr>
      <w:r>
        <w:t xml:space="preserve">Parecer jurídico da Ordem dos Advogados (n.º 2024/07) que recomenda a exclusão de provas obtidas sem avaliação de impacto;</w:t>
      </w:r>
      <w:r>
        <w:br/>
      </w:r>
    </w:p>
    <w:p>
      <w:pPr>
        <w:pStyle w:val="Compact"/>
        <w:numPr>
          <w:ilvl w:val="1"/>
          <w:numId w:val="1006"/>
        </w:numPr>
      </w:pPr>
      <w:r>
        <w:t xml:space="preserve">Jurisprudência do Tribunal Constitucional (Acórdão n.º 5/2021) e do Supremo Tribunal de Justiça (Acórdão n.º 2/2022).</w:t>
      </w:r>
    </w:p>
    <w:p>
      <w:pPr>
        <w:pStyle w:val="FirstParagraph"/>
      </w:pPr>
      <w:r>
        <w:rPr>
          <w:b/>
          <w:bCs/>
        </w:rPr>
        <w:t xml:space="preserve">V – CONCLUSÃO</w:t>
      </w:r>
    </w:p>
    <w:p>
      <w:pPr>
        <w:pStyle w:val="Compact"/>
        <w:numPr>
          <w:ilvl w:val="0"/>
          <w:numId w:val="1007"/>
        </w:numPr>
      </w:pPr>
      <w:r>
        <w:t xml:space="preserve">Por tudo o que se expôs, requer a V. Exa. que se digne a</w:t>
      </w:r>
      <w:r>
        <w:t xml:space="preserve"> </w:t>
      </w:r>
      <w:r>
        <w:rPr>
          <w:b/>
          <w:bCs/>
        </w:rPr>
        <w:t xml:space="preserve">indeferir a prova eletrónica relativa aos registos de IP</w:t>
      </w:r>
      <w:r>
        <w:t xml:space="preserve">, por violação dos direitos fundamentais do réu, nos termos da legislação nacional e comunitária aplicável, assegurando, assim, o respeito ao princípio da proporcionalidade e ao direito ao devido processo legal.</w:t>
      </w:r>
    </w:p>
    <w:p>
      <w:pPr>
        <w:pStyle w:val="FirstParagraph"/>
      </w:pPr>
      <w:r>
        <w:t xml:space="preserve">Termos em que,</w:t>
      </w:r>
      <w:r>
        <w:br/>
      </w:r>
      <w:r>
        <w:t xml:space="preserve">pede deferimento.</w:t>
      </w:r>
    </w:p>
    <w:p>
      <w:r>
        <w:pict>
          <v:rect style="width:0;height:1.5pt" o:hralign="center" o:hrstd="t" o:hr="t"/>
        </w:pict>
      </w:r>
    </w:p>
    <w:p>
      <w:pPr>
        <w:pStyle w:val="FirstParagraph"/>
      </w:pPr>
      <w:r>
        <w:rPr>
          <w:b/>
          <w:bCs/>
        </w:rPr>
        <w:t xml:space="preserve">Lisboa, 15 de março de 2024</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Advogada</w:t>
            </w:r>
          </w:p>
        </w:tc>
        <w:tc>
          <w:tcPr/>
          <w:p>
            <w:pPr>
              <w:pStyle w:val="Compact"/>
            </w:pPr>
            <w:r>
              <w:t xml:space="preserve">Advogado</w:t>
            </w:r>
          </w:p>
        </w:tc>
      </w:tr>
      <w:tr>
        <w:tc>
          <w:tcPr/>
          <w:p>
            <w:pPr>
              <w:pStyle w:val="Compact"/>
            </w:pPr>
            <w:r>
              <w:rPr>
                <w:b/>
                <w:bCs/>
              </w:rPr>
              <w:t xml:space="preserve">Dr. Ana Pereira</w:t>
            </w:r>
            <w:r>
              <w:t xml:space="preserve">OAB 12345</w:t>
            </w:r>
            <w:r>
              <w:t xml:space="preserve">NIF 123 456 789</w:t>
            </w:r>
          </w:p>
        </w:tc>
        <w:tc>
          <w:tcPr/>
          <w:p>
            <w:pPr>
              <w:pStyle w:val="Compact"/>
            </w:pPr>
            <w:r>
              <w:rPr>
                <w:b/>
                <w:bCs/>
              </w:rPr>
              <w:t xml:space="preserve">Dr. Luís Carvalho</w:t>
            </w:r>
            <w:r>
              <w:t xml:space="preserve">OAB 67890</w:t>
            </w:r>
            <w:r>
              <w:t xml:space="preserve">NIF 987 654 321</w:t>
            </w:r>
          </w:p>
        </w:tc>
      </w:tr>
      <w:tr>
        <w:tc>
          <w:tcPr/>
          <w:p>
            <w:pPr>
              <w:pStyle w:val="Compact"/>
            </w:pPr>
            <w:r>
              <w:rPr>
                <w:b/>
                <w:bCs/>
              </w:rPr>
              <w:t xml:space="preserve">Assinatura</w:t>
            </w:r>
          </w:p>
        </w:tc>
        <w:tc>
          <w:tcPr/>
          <w:p>
            <w:pPr>
              <w:pStyle w:val="Compact"/>
            </w:pPr>
            <w:r>
              <w:rPr>
                <w:b/>
                <w:bCs/>
              </w:rPr>
              <w:t xml:space="preserve">Assinatura</w:t>
            </w:r>
          </w:p>
        </w:tc>
      </w:tr>
    </w:tbl>
    <w:p>
      <w:r>
        <w:pict>
          <v:rect style="width:0;height:1.5pt" o:hralign="center" o:hrstd="t" o:hr="t"/>
        </w:pict>
      </w:r>
    </w:p>
    <w:p>
      <w:pPr>
        <w:pStyle w:val="FirstParagraph"/>
      </w:pPr>
      <w:r>
        <w:rPr>
          <w:b/>
          <w:bCs/>
        </w:rPr>
        <w:t xml:space="preserve">Cópia:</w:t>
      </w:r>
      <w:r>
        <w:t xml:space="preserve"> </w:t>
      </w:r>
      <w:r>
        <w:t xml:space="preserve">Ministério Público – Secção de Instrução Criminal; Defesa do Réu; Arquivo do Tribunal Judicial de Lisboa.</w:t>
      </w:r>
    </w:p>
    <w:bookmarkEnd w:id="9"/>
    <w:bookmarkEnd w:id="1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3">
    <w:nsid w:val="00A9941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99417">
    <w:nsid w:val="00A99417"/>
    <w:multiLevelType w:val="multilevel"/>
    <w:lvl w:ilvl="0">
      <w:start w:val="7"/>
      <w:numFmt w:val="decimal"/>
      <w:lvlText w:val="%1."/>
      <w:lvlJc w:val="left"/>
      <w:pPr>
        <w:ind w:left="720" w:hanging="360"/>
      </w:pPr>
    </w:lvl>
    <w:lvl w:ilvl="1">
      <w:start w:val="7"/>
      <w:numFmt w:val="decimal"/>
      <w:lvlText w:val="%2."/>
      <w:lvlJc w:val="left"/>
      <w:pPr>
        <w:ind w:left="1440" w:hanging="360"/>
      </w:pPr>
    </w:lvl>
    <w:lvl w:ilvl="2">
      <w:start w:val="7"/>
      <w:numFmt w:val="decimal"/>
      <w:lvlText w:val="%3."/>
      <w:lvlJc w:val="left"/>
      <w:pPr>
        <w:ind w:left="2160" w:hanging="360"/>
      </w:pPr>
    </w:lvl>
    <w:lvl w:ilvl="3">
      <w:start w:val="7"/>
      <w:numFmt w:val="decimal"/>
      <w:lvlText w:val="%4."/>
      <w:lvlJc w:val="left"/>
      <w:pPr>
        <w:ind w:left="2880" w:hanging="360"/>
      </w:pPr>
    </w:lvl>
    <w:lvl w:ilvl="4">
      <w:start w:val="7"/>
      <w:numFmt w:val="decimal"/>
      <w:lvlText w:val="%5."/>
      <w:lvlJc w:val="left"/>
      <w:pPr>
        <w:ind w:left="3600" w:hanging="360"/>
      </w:pPr>
    </w:lvl>
    <w:lvl w:ilvl="5">
      <w:start w:val="7"/>
      <w:numFmt w:val="decimal"/>
      <w:lvlText w:val="%6."/>
      <w:lvlJc w:val="left"/>
      <w:pPr>
        <w:ind w:left="4320" w:hanging="360"/>
      </w:pPr>
    </w:lvl>
    <w:lvl w:ilvl="6">
      <w:start w:val="7"/>
      <w:numFmt w:val="decimal"/>
      <w:lvlText w:val="%7."/>
      <w:lvlJc w:val="left"/>
      <w:pPr>
        <w:ind w:left="5040" w:hanging="360"/>
      </w:pPr>
    </w:lvl>
    <w:lvl w:ilvl="7">
      <w:start w:val="7"/>
      <w:numFmt w:val="decimal"/>
      <w:lvlText w:val="%8."/>
      <w:lvlJc w:val="left"/>
      <w:pPr>
        <w:ind w:left="5760" w:hanging="360"/>
      </w:pPr>
    </w:lvl>
    <w:lvl w:ilvl="8">
      <w:start w:val="7"/>
      <w:numFmt w:val="decimal"/>
      <w:lvlText w:val="%9."/>
      <w:lvlJc w:val="left"/>
      <w:pPr>
        <w:ind w:left="6480" w:hanging="360"/>
      </w:pPr>
    </w:lvl>
  </w:abstractNum>
  <w:abstractNum w:abstractNumId="99721">
    <w:nsid w:val="00A99721"/>
    <w:multiLevelType w:val="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99419">
    <w:nsid w:val="00A99419"/>
    <w:multiLevelType w:val="multilevel"/>
    <w:lvl w:ilvl="0">
      <w:start w:val="9"/>
      <w:numFmt w:val="decimal"/>
      <w:lvlText w:val="%1."/>
      <w:lvlJc w:val="left"/>
      <w:pPr>
        <w:ind w:left="720" w:hanging="360"/>
      </w:pPr>
    </w:lvl>
    <w:lvl w:ilvl="1">
      <w:start w:val="9"/>
      <w:numFmt w:val="decimal"/>
      <w:lvlText w:val="%2."/>
      <w:lvlJc w:val="left"/>
      <w:pPr>
        <w:ind w:left="1440" w:hanging="360"/>
      </w:pPr>
    </w:lvl>
    <w:lvl w:ilvl="2">
      <w:start w:val="9"/>
      <w:numFmt w:val="decimal"/>
      <w:lvlText w:val="%3."/>
      <w:lvlJc w:val="left"/>
      <w:pPr>
        <w:ind w:left="2160" w:hanging="360"/>
      </w:pPr>
    </w:lvl>
    <w:lvl w:ilvl="3">
      <w:start w:val="9"/>
      <w:numFmt w:val="decimal"/>
      <w:lvlText w:val="%4."/>
      <w:lvlJc w:val="left"/>
      <w:pPr>
        <w:ind w:left="2880" w:hanging="360"/>
      </w:pPr>
    </w:lvl>
    <w:lvl w:ilvl="4">
      <w:start w:val="9"/>
      <w:numFmt w:val="decimal"/>
      <w:lvlText w:val="%5."/>
      <w:lvlJc w:val="left"/>
      <w:pPr>
        <w:ind w:left="3600" w:hanging="360"/>
      </w:pPr>
    </w:lvl>
    <w:lvl w:ilvl="5">
      <w:start w:val="9"/>
      <w:numFmt w:val="decimal"/>
      <w:lvlText w:val="%6."/>
      <w:lvlJc w:val="left"/>
      <w:pPr>
        <w:ind w:left="4320" w:hanging="360"/>
      </w:pPr>
    </w:lvl>
    <w:lvl w:ilvl="6">
      <w:start w:val="9"/>
      <w:numFmt w:val="decimal"/>
      <w:lvlText w:val="%7."/>
      <w:lvlJc w:val="left"/>
      <w:pPr>
        <w:ind w:left="5040" w:hanging="360"/>
      </w:pPr>
    </w:lvl>
    <w:lvl w:ilvl="7">
      <w:start w:val="9"/>
      <w:numFmt w:val="decimal"/>
      <w:lvlText w:val="%8."/>
      <w:lvlJc w:val="left"/>
      <w:pPr>
        <w:ind w:left="5760" w:hanging="360"/>
      </w:pPr>
    </w:lvl>
    <w:lvl w:ilvl="8">
      <w:start w:val="9"/>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0">
    <w:nsid w:val="0A994110"/>
    <w:multiLevelType w:val="multilevel"/>
    <w:lvl w:ilvl="0">
      <w:start w:val="10"/>
      <w:numFmt w:val="decimal"/>
      <w:lvlText w:val="%1."/>
      <w:lvlJc w:val="left"/>
      <w:pPr>
        <w:ind w:left="720" w:hanging="360"/>
      </w:pPr>
    </w:lvl>
    <w:lvl w:ilvl="1">
      <w:start w:val="10"/>
      <w:numFmt w:val="decimal"/>
      <w:lvlText w:val="%2."/>
      <w:lvlJc w:val="left"/>
      <w:pPr>
        <w:ind w:left="1440" w:hanging="360"/>
      </w:pPr>
    </w:lvl>
    <w:lvl w:ilvl="2">
      <w:start w:val="10"/>
      <w:numFmt w:val="decimal"/>
      <w:lvlText w:val="%3."/>
      <w:lvlJc w:val="left"/>
      <w:pPr>
        <w:ind w:left="2160" w:hanging="360"/>
      </w:pPr>
    </w:lvl>
    <w:lvl w:ilvl="3">
      <w:start w:val="10"/>
      <w:numFmt w:val="decimal"/>
      <w:lvlText w:val="%4."/>
      <w:lvlJc w:val="left"/>
      <w:pPr>
        <w:ind w:left="2880" w:hanging="360"/>
      </w:pPr>
    </w:lvl>
    <w:lvl w:ilvl="4">
      <w:start w:val="10"/>
      <w:numFmt w:val="decimal"/>
      <w:lvlText w:val="%5."/>
      <w:lvlJc w:val="left"/>
      <w:pPr>
        <w:ind w:left="3600" w:hanging="360"/>
      </w:pPr>
    </w:lvl>
    <w:lvl w:ilvl="5">
      <w:start w:val="10"/>
      <w:numFmt w:val="decimal"/>
      <w:lvlText w:val="%6."/>
      <w:lvlJc w:val="left"/>
      <w:pPr>
        <w:ind w:left="4320" w:hanging="360"/>
      </w:pPr>
    </w:lvl>
    <w:lvl w:ilvl="6">
      <w:start w:val="10"/>
      <w:numFmt w:val="decimal"/>
      <w:lvlText w:val="%7."/>
      <w:lvlJc w:val="left"/>
      <w:pPr>
        <w:ind w:left="5040" w:hanging="360"/>
      </w:pPr>
    </w:lvl>
    <w:lvl w:ilvl="7">
      <w:start w:val="10"/>
      <w:numFmt w:val="decimal"/>
      <w:lvlText w:val="%8."/>
      <w:lvlJc w:val="left"/>
      <w:pPr>
        <w:ind w:left="5760" w:hanging="360"/>
      </w:pPr>
    </w:lvl>
    <w:lvl w:ilvl="8">
      <w:start w:val="10"/>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3">
    <w:abstractNumId w:val="99417"/>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1004">
    <w:abstractNumId w:val="997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9"/>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1006">
    <w:abstractNumId w:val="991"/>
  </w:num>
  <w:num w:numId="1007">
    <w:abstractNumId w:val="994110"/>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lvlOverride w:ilvl="7">
      <w:startOverride w:val="10"/>
    </w:lvlOverride>
    <w:lvlOverride w:ilvl="8">
      <w:startOverride w:val="10"/>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2026-02-22T19:01:58Z</dcterms:created>
  <dcterms:modified xsi:type="dcterms:W3CDTF">2026-02-22T19:01:58Z</dcterms:modified>
</cp:coreProperties>
</file>

<file path=docProps/custom.xml><?xml version="1.0" encoding="utf-8"?>
<Properties xmlns="http://schemas.openxmlformats.org/officeDocument/2006/custom-properties" xmlns:vt="http://schemas.openxmlformats.org/officeDocument/2006/docPropsVTypes"/>
</file>